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73</w:t>
      </w:r>
    </w:p>
    <w:p>
      <w:pPr>
        <w:widowControl w:val="0"/>
        <w:spacing w:before="0" w:after="0"/>
        <w:jc w:val="right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№1 Нижневартовского судебного района Ханты-Мансийского автономного округа – Югры Янбаева Г.Х.,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материалы дела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4rplc-8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UserDefinedgrp-34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зарегистрированного и </w:t>
      </w:r>
      <w:r>
        <w:rPr>
          <w:rStyle w:val="cat-PassportDatagrp-25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УМВД России по Ханты-Мансийскому автономному округу - Югре, 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12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по адресу ХМАО-Югра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будучи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к административной ответственности по ч.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достоверно зная о наложенном административном наказании, не уплатил административный штраф, наложенный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 188100</w:t>
      </w:r>
      <w:r>
        <w:rPr>
          <w:rFonts w:ascii="Times New Roman" w:eastAsia="Times New Roman" w:hAnsi="Times New Roman" w:cs="Times New Roman"/>
          <w:sz w:val="26"/>
          <w:szCs w:val="26"/>
        </w:rPr>
        <w:t>8622000</w:t>
      </w:r>
      <w:r>
        <w:rPr>
          <w:rFonts w:ascii="Times New Roman" w:eastAsia="Times New Roman" w:hAnsi="Times New Roman" w:cs="Times New Roman"/>
          <w:sz w:val="26"/>
          <w:szCs w:val="26"/>
        </w:rPr>
        <w:t>1815687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явился, о дате и времени провед</w:t>
      </w:r>
      <w:r>
        <w:rPr>
          <w:rFonts w:ascii="Times New Roman" w:eastAsia="Times New Roman" w:hAnsi="Times New Roman" w:cs="Times New Roman"/>
          <w:sz w:val="26"/>
          <w:szCs w:val="26"/>
        </w:rPr>
        <w:t>ения судебного заседания извещ</w:t>
      </w:r>
      <w:r>
        <w:rPr>
          <w:rFonts w:ascii="Times New Roman" w:eastAsia="Times New Roman" w:hAnsi="Times New Roman" w:cs="Times New Roman"/>
          <w:sz w:val="26"/>
          <w:szCs w:val="26"/>
        </w:rPr>
        <w:t>ен надлежащим образом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ч. 2 ст. 25.1 КоАП РФ, дело рассмотрено в отсутствие лица, привлекаемого к административной ответственности.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и причастность его к совершению правонарушения в полном объёме подтверждается 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административном правонарушении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558690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18810086220001815687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2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37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рублей.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13 ноября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-сведения о привлечении </w:t>
      </w: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в том числе и 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гл. 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КоА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-карточка учета транспортного средства НИССАН ПРИМЕРА;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карточка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</w:t>
      </w:r>
      <w:r>
        <w:rPr>
          <w:rFonts w:ascii="Times New Roman" w:eastAsia="Times New Roman" w:hAnsi="Times New Roman" w:cs="Times New Roman"/>
          <w:sz w:val="26"/>
          <w:szCs w:val="26"/>
        </w:rPr>
        <w:t>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удостоверени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имя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Представленная в материалы дела выписка из программного обеспечения ГИС ГМП подтверждает </w:t>
      </w:r>
      <w:r>
        <w:rPr>
          <w:rFonts w:ascii="Times New Roman" w:eastAsia="Times New Roman" w:hAnsi="Times New Roman" w:cs="Times New Roman"/>
          <w:sz w:val="26"/>
          <w:szCs w:val="26"/>
        </w:rPr>
        <w:t>неуплату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штрафа в размере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копе</w:t>
      </w:r>
      <w:r>
        <w:rPr>
          <w:rFonts w:ascii="Times New Roman" w:eastAsia="Times New Roman" w:hAnsi="Times New Roman" w:cs="Times New Roman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срок до </w:t>
      </w:r>
      <w:r>
        <w:rPr>
          <w:rFonts w:ascii="Times New Roman" w:eastAsia="Times New Roman" w:hAnsi="Times New Roman" w:cs="Times New Roman"/>
          <w:sz w:val="26"/>
          <w:szCs w:val="26"/>
        </w:rPr>
        <w:t>11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Учитывая характер совершенного правонарушения, отсутствие обстоятельств, смягчающих административную ответственность, предусмотренных ст. 4.2 КоАП РФ, обстоятельств,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считает необходимым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И.А.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3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Батыжова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Ибрагима </w:t>
      </w:r>
      <w:r>
        <w:rPr>
          <w:rFonts w:ascii="Times New Roman" w:eastAsia="Times New Roman" w:hAnsi="Times New Roman" w:cs="Times New Roman"/>
          <w:sz w:val="26"/>
          <w:szCs w:val="26"/>
        </w:rPr>
        <w:t>Ахматхановича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шестьсот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0412365400235000872420167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0412365400235000872420167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</w:t>
      </w:r>
      <w:r>
        <w:rPr>
          <w:rFonts w:ascii="Times New Roman" w:eastAsia="Times New Roman" w:hAnsi="Times New Roman" w:cs="Times New Roman"/>
          <w:sz w:val="26"/>
          <w:szCs w:val="26"/>
        </w:rPr>
        <w:t>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87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.02.2024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87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34rplc-9">
    <w:name w:val="cat-UserDefined grp-34 rplc-9"/>
    <w:basedOn w:val="DefaultParagraphFont"/>
  </w:style>
  <w:style w:type="character" w:customStyle="1" w:styleId="cat-PassportDatagrp-25rplc-11">
    <w:name w:val="cat-PassportData grp-25 rplc-11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